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9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9"/>
        <w:gridCol w:w="5924"/>
      </w:tblGrid>
      <w:tr w:rsidR="002E66BC" w:rsidRPr="00F52BD0" w14:paraId="58C127BD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7B7DD2" w14:textId="77777777" w:rsidR="002E66BC" w:rsidRPr="00F52BD0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Dependencia Solicitante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6AEEA" w14:textId="77777777" w:rsidR="002E66BC" w:rsidRPr="00F52BD0" w:rsidRDefault="002E66BC" w:rsidP="00612BB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2E66BC" w:rsidRPr="00F52BD0" w14:paraId="0BA4D4CF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51E6A9C" w14:textId="77777777" w:rsidR="002E66BC" w:rsidRPr="00F52BD0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Rubro de Funcionamiento 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AEC9A31" w14:textId="77777777" w:rsidR="002E66BC" w:rsidRPr="00F52BD0" w:rsidRDefault="002E66BC" w:rsidP="00612BB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E43A7E" w14:textId="77777777" w:rsidR="002E66BC" w:rsidRPr="00F52BD0" w:rsidRDefault="002E66BC" w:rsidP="009F53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2E66BC" w:rsidRPr="00F52BD0" w14:paraId="620CFB21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84C54B" w14:textId="77777777" w:rsidR="002E66BC" w:rsidRPr="00F52BD0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 del Proyecto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919BA5" w14:textId="77777777" w:rsidR="002E66BC" w:rsidRPr="00F52BD0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F52BD0" w14:paraId="4C53BB68" w14:textId="77777777" w:rsidTr="00B53001">
        <w:trPr>
          <w:trHeight w:val="525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0B1A4D" w14:textId="77777777" w:rsidR="002E66BC" w:rsidRPr="00F52BD0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Código del proyecto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FCB25E" w14:textId="77777777" w:rsidR="002E66BC" w:rsidRPr="00F52BD0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F52BD0" w14:paraId="18DE09DE" w14:textId="77777777" w:rsidTr="00B53001">
        <w:trPr>
          <w:trHeight w:val="54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4956FA" w14:textId="77777777" w:rsidR="002E66BC" w:rsidRPr="00F52BD0" w:rsidRDefault="002E66BC" w:rsidP="009F53F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Meta del Proyecto </w:t>
            </w:r>
            <w:r w:rsidR="009F53F2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(Objetivo General del Proyecto)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9A989F" w14:textId="77777777" w:rsidR="002E66BC" w:rsidRPr="00F52BD0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F52BD0" w14:paraId="4E5F13A3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2D581A" w14:textId="77777777" w:rsidR="002E66BC" w:rsidRPr="00F52BD0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Actividad Principal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9997BC" w14:textId="77777777" w:rsidR="002E66BC" w:rsidRPr="00F52BD0" w:rsidRDefault="002E66BC" w:rsidP="009F53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F52BD0" w14:paraId="4EF58BD7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81364C" w14:textId="77777777" w:rsidR="002E66BC" w:rsidRPr="00F52BD0" w:rsidRDefault="002E66BC" w:rsidP="001D08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Actividad Plan de Acción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0CD288" w14:textId="77777777" w:rsidR="002E66BC" w:rsidRPr="00F52BD0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F52BD0" w14:paraId="1A3A9FAD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02882E" w14:textId="77777777" w:rsidR="002E66BC" w:rsidRPr="00F52BD0" w:rsidRDefault="002E66BC" w:rsidP="00B5300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Código PABS (</w:t>
            </w:r>
            <w:r w:rsidRPr="00F52BD0">
              <w:rPr>
                <w:rFonts w:ascii="Arial" w:eastAsia="Times New Roman" w:hAnsi="Arial" w:cs="Arial"/>
                <w:i/>
                <w:sz w:val="18"/>
                <w:szCs w:val="18"/>
                <w:lang w:eastAsia="es-CO"/>
              </w:rPr>
              <w:t>consecutivo generado para cada proceso del plan de adquisiciones)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2F14B8" w14:textId="77777777" w:rsidR="002E66BC" w:rsidRPr="00F52BD0" w:rsidRDefault="002E66BC" w:rsidP="00612BB4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2E66BC" w:rsidRPr="00F52BD0" w14:paraId="1AED48FE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0C789A" w14:textId="77777777" w:rsidR="002E66BC" w:rsidRPr="00F52BD0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Fecha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B9419" w14:textId="77777777" w:rsidR="002E66BC" w:rsidRPr="00F52BD0" w:rsidRDefault="002E66BC" w:rsidP="00F24E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1D081A" w:rsidRPr="00F52BD0" w14:paraId="12B6B742" w14:textId="77777777" w:rsidTr="00B53001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FDCF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F52BD0" w14:paraId="6CE05737" w14:textId="77777777" w:rsidTr="00B53001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6A11647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1. Marco Legal</w:t>
            </w:r>
          </w:p>
        </w:tc>
      </w:tr>
      <w:tr w:rsidR="009C4554" w:rsidRPr="00F52BD0" w14:paraId="51AA7A32" w14:textId="77777777" w:rsidTr="00B53001">
        <w:trPr>
          <w:trHeight w:val="5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D5304B" w14:textId="51332779" w:rsidR="009C4554" w:rsidRPr="00F52BD0" w:rsidRDefault="00507DE6" w:rsidP="00F82F50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2BD0">
              <w:rPr>
                <w:rFonts w:ascii="Arial" w:hAnsi="Arial" w:cs="Arial"/>
                <w:sz w:val="18"/>
                <w:szCs w:val="18"/>
              </w:rPr>
              <w:t>En cumplimiento a lo dispuesto por el Estatuto General de la Contratación Pública, especialment</w:t>
            </w:r>
            <w:r w:rsidR="00F82F50">
              <w:rPr>
                <w:rFonts w:ascii="Arial" w:hAnsi="Arial" w:cs="Arial"/>
                <w:sz w:val="18"/>
                <w:szCs w:val="18"/>
              </w:rPr>
              <w:t>e lo establecido en e</w:t>
            </w:r>
            <w:r w:rsidRPr="00F52BD0">
              <w:rPr>
                <w:rFonts w:ascii="Arial" w:hAnsi="Arial" w:cs="Arial"/>
                <w:sz w:val="18"/>
                <w:szCs w:val="18"/>
              </w:rPr>
              <w:t>l artículo</w:t>
            </w:r>
            <w:r w:rsidR="001043B5" w:rsidRPr="00F52BD0">
              <w:rPr>
                <w:rFonts w:ascii="Arial" w:hAnsi="Arial" w:cs="Arial"/>
                <w:sz w:val="18"/>
                <w:szCs w:val="18"/>
              </w:rPr>
              <w:t xml:space="preserve"> 355 de la Constitución Política</w:t>
            </w:r>
            <w:r w:rsidR="005C5EE1" w:rsidRPr="00F52BD0">
              <w:rPr>
                <w:rFonts w:ascii="Arial" w:hAnsi="Arial" w:cs="Arial"/>
                <w:sz w:val="18"/>
                <w:szCs w:val="18"/>
              </w:rPr>
              <w:t xml:space="preserve"> de 1991</w:t>
            </w:r>
            <w:r w:rsidR="00F82F50">
              <w:rPr>
                <w:rFonts w:ascii="Arial" w:hAnsi="Arial" w:cs="Arial"/>
                <w:sz w:val="18"/>
                <w:szCs w:val="18"/>
              </w:rPr>
              <w:t>, artículo 96 de la Ley 489 de 1998,</w:t>
            </w:r>
            <w:r w:rsidR="001043B5" w:rsidRPr="00F52B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67AF" w:rsidRPr="00F52BD0">
              <w:rPr>
                <w:rFonts w:ascii="Arial" w:hAnsi="Arial" w:cs="Arial"/>
                <w:sz w:val="18"/>
                <w:szCs w:val="18"/>
              </w:rPr>
              <w:t xml:space="preserve">artículo </w:t>
            </w:r>
            <w:r w:rsidR="00AC7C5C" w:rsidRPr="00D31EF5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F567AF" w:rsidRPr="00D31EF5">
              <w:rPr>
                <w:rFonts w:ascii="Arial" w:hAnsi="Arial" w:cs="Arial"/>
                <w:sz w:val="18"/>
                <w:szCs w:val="18"/>
              </w:rPr>
              <w:t>del D</w:t>
            </w:r>
            <w:r w:rsidR="001043B5" w:rsidRPr="00D31EF5">
              <w:rPr>
                <w:rFonts w:ascii="Arial" w:hAnsi="Arial" w:cs="Arial"/>
                <w:sz w:val="18"/>
                <w:szCs w:val="18"/>
              </w:rPr>
              <w:t>ecreto 092 de 2017,</w:t>
            </w:r>
            <w:r w:rsidR="00E45747" w:rsidRPr="00D31EF5">
              <w:rPr>
                <w:rFonts w:ascii="Arial" w:hAnsi="Arial" w:cs="Arial"/>
                <w:sz w:val="18"/>
                <w:szCs w:val="18"/>
              </w:rPr>
              <w:t xml:space="preserve"> y el Anexo I Procedimiento Competitivo del Manual de Contratación de la Agencia Nacional</w:t>
            </w:r>
            <w:r w:rsidR="00E45747">
              <w:rPr>
                <w:rFonts w:ascii="Arial" w:hAnsi="Arial" w:cs="Arial"/>
                <w:sz w:val="18"/>
                <w:szCs w:val="18"/>
              </w:rPr>
              <w:t xml:space="preserve"> de Tierras,</w:t>
            </w:r>
            <w:r w:rsidR="001043B5" w:rsidRPr="00F52BD0">
              <w:rPr>
                <w:rFonts w:ascii="Arial" w:hAnsi="Arial" w:cs="Arial"/>
                <w:sz w:val="18"/>
                <w:szCs w:val="18"/>
              </w:rPr>
              <w:t xml:space="preserve"> se presenta la justificación para adelantar un (1) Convenio de Asociación con Entidad Privadas Sin Ánimo de Lucro</w:t>
            </w:r>
            <w:r w:rsidR="00E64EC6" w:rsidRPr="00F52BD0">
              <w:rPr>
                <w:rFonts w:ascii="Arial" w:hAnsi="Arial" w:cs="Arial"/>
                <w:sz w:val="18"/>
                <w:szCs w:val="18"/>
              </w:rPr>
              <w:t xml:space="preserve"> y de Reconocida Idoneidad</w:t>
            </w:r>
            <w:r w:rsidR="001043B5" w:rsidRPr="00F52B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081A" w:rsidRPr="00F52BD0" w14:paraId="35416E7F" w14:textId="77777777" w:rsidTr="00B53001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BF34C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F52BD0" w14:paraId="5F444033" w14:textId="77777777" w:rsidTr="00B5300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38C758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2. Justificación Técnica </w:t>
            </w:r>
            <w:r w:rsidRPr="00F52BD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(Dependencia Solicitante)</w:t>
            </w:r>
          </w:p>
        </w:tc>
      </w:tr>
      <w:tr w:rsidR="00BE1DF2" w:rsidRPr="00F52BD0" w14:paraId="0959ECA5" w14:textId="77777777" w:rsidTr="00B53001">
        <w:trPr>
          <w:trHeight w:val="1031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E475C5" w14:textId="2E400B00" w:rsidR="00BE1DF2" w:rsidRPr="00F52BD0" w:rsidRDefault="00BE1DF2" w:rsidP="00BE1DF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2.1. Descripción de la Necesidad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86B851" w14:textId="0587EE17" w:rsidR="00BE1DF2" w:rsidRPr="00F52BD0" w:rsidRDefault="00BE1DF2" w:rsidP="004F411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  <w:t>.</w:t>
            </w:r>
          </w:p>
        </w:tc>
      </w:tr>
      <w:tr w:rsidR="001D081A" w:rsidRPr="00F52BD0" w14:paraId="675FBF92" w14:textId="77777777" w:rsidTr="00B53001">
        <w:trPr>
          <w:trHeight w:val="1031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EE7FE0" w14:textId="77777777" w:rsidR="001D081A" w:rsidRPr="00F52BD0" w:rsidRDefault="001D081A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2.2 Pl</w:t>
            </w:r>
            <w:r w:rsidR="003B68D5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anteamiento Técnico de Solución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AC91BD" w14:textId="59167270" w:rsidR="001D081A" w:rsidRPr="00F52BD0" w:rsidRDefault="001D081A" w:rsidP="009F6D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F52BD0" w14:paraId="0C5414F2" w14:textId="77777777" w:rsidTr="00B53001">
        <w:trPr>
          <w:trHeight w:val="57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4541EB" w14:textId="48DEABAB" w:rsidR="001D081A" w:rsidRPr="00EF3F74" w:rsidRDefault="00BE1D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2.3 Tipo de C</w:t>
            </w:r>
            <w:r w:rsidR="009C4554" w:rsidRP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onvenio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FEB433" w14:textId="6FB8ECD9" w:rsidR="001D081A" w:rsidRPr="00EF3F74" w:rsidRDefault="00251566" w:rsidP="00F24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E36C0A" w:themeColor="accent6" w:themeShade="BF"/>
                <w:sz w:val="18"/>
                <w:szCs w:val="18"/>
              </w:rPr>
            </w:pPr>
            <w:r w:rsidRPr="00251566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Convenio de Asociación con Entidades</w:t>
            </w:r>
            <w:r w:rsidR="00C12FC1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Privadas</w:t>
            </w:r>
            <w:r w:rsidRPr="00251566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Sin Ánimo de Lucro y de Reconocida Idoneidad</w:t>
            </w:r>
          </w:p>
        </w:tc>
      </w:tr>
      <w:tr w:rsidR="001D081A" w:rsidRPr="00F52BD0" w14:paraId="26E86416" w14:textId="77777777" w:rsidTr="00B53001">
        <w:trPr>
          <w:trHeight w:val="57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B44AAE" w14:textId="02476636" w:rsidR="001D081A" w:rsidRPr="00EF3F74" w:rsidRDefault="00C90436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2.4</w:t>
            </w:r>
            <w:r w:rsidR="001D081A" w:rsidRP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Clasificador de Bienes y Servicios 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A1A29D" w14:textId="77777777" w:rsidR="001D081A" w:rsidRPr="00EF3F74" w:rsidRDefault="001D081A" w:rsidP="0063139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color w:val="E36C0A" w:themeColor="accent6" w:themeShade="BF"/>
                <w:sz w:val="18"/>
                <w:szCs w:val="18"/>
              </w:rPr>
            </w:pPr>
          </w:p>
        </w:tc>
      </w:tr>
      <w:tr w:rsidR="001D081A" w:rsidRPr="00F52BD0" w14:paraId="0E0C867D" w14:textId="77777777" w:rsidTr="00B53001">
        <w:trPr>
          <w:trHeight w:val="1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46DFE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F52BD0" w14:paraId="607784B9" w14:textId="77777777" w:rsidTr="00B53001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901B64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3. Fundamentos Jurídicos de la Modalidad de Selección</w:t>
            </w:r>
          </w:p>
        </w:tc>
      </w:tr>
      <w:tr w:rsidR="001D081A" w:rsidRPr="00F52BD0" w14:paraId="124A2D1B" w14:textId="77777777" w:rsidTr="00B53001">
        <w:trPr>
          <w:trHeight w:val="313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42B8C4A" w14:textId="77777777" w:rsidR="001D081A" w:rsidRPr="00F82F50" w:rsidRDefault="003B68D5" w:rsidP="003B68D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82F50">
              <w:rPr>
                <w:rFonts w:ascii="Arial" w:hAnsi="Arial" w:cs="Arial"/>
                <w:sz w:val="18"/>
                <w:szCs w:val="18"/>
              </w:rPr>
              <w:t>3.1 Indique la modalidad de contratación</w:t>
            </w:r>
            <w:r w:rsidR="001D081A" w:rsidRPr="00F82F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EA65A4" w14:textId="05BA33A4" w:rsidR="00057EC3" w:rsidRPr="00F82F50" w:rsidRDefault="00057EC3" w:rsidP="00F82F50">
            <w:pPr>
              <w:jc w:val="both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52BD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El convenio a celebrar corresponde a un</w:t>
            </w:r>
            <w:r w:rsidR="00E64EC6" w:rsidRPr="00F52BD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Convenio de Asociación con Entidad Privadas Sin Ánimo de Lucro y de Reconocida Idoneidad conforme al </w:t>
            </w:r>
            <w:r w:rsidRPr="00F52BD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artículo </w:t>
            </w:r>
            <w:r w:rsidR="00F82F50" w:rsidRPr="00F82F5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355 de la Constitución Política de 1991, artículo 96 de la Ley 489 de 1998, artículo 5 del Decreto 092 de 2017, y el Anexo I Procedimiento Competitivo del Manual de Contratación de</w:t>
            </w:r>
            <w:r w:rsidR="00F82F5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la Agencia Nacional de Tierras</w:t>
            </w:r>
            <w:r w:rsidR="00F567AF" w:rsidRPr="00F52BD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1D081A" w:rsidRPr="00F52BD0" w14:paraId="21398075" w14:textId="77777777" w:rsidTr="00B53001">
        <w:trPr>
          <w:trHeight w:val="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2732" w14:textId="77777777" w:rsidR="001D081A" w:rsidRPr="00F82F50" w:rsidRDefault="001D081A" w:rsidP="00FF3181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82F5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</w:tc>
      </w:tr>
      <w:tr w:rsidR="001D081A" w:rsidRPr="00F52BD0" w14:paraId="7F19155F" w14:textId="77777777" w:rsidTr="00B53001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1D36F" w14:textId="4414C3F4" w:rsidR="001D081A" w:rsidRPr="00F52BD0" w:rsidRDefault="001F0EDE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4. Imputación Presupuestal, </w:t>
            </w:r>
            <w:r w:rsidR="001D081A"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Supervisión </w:t>
            </w: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y Seguimiento</w:t>
            </w:r>
          </w:p>
        </w:tc>
      </w:tr>
      <w:tr w:rsidR="001D081A" w:rsidRPr="00F52BD0" w14:paraId="09EDD5DC" w14:textId="77777777" w:rsidTr="00B53001">
        <w:trPr>
          <w:trHeight w:val="398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55EBBB" w14:textId="77777777" w:rsidR="001D081A" w:rsidRPr="00F52BD0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4.1 Rubro Presupuestal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410F1D" w14:textId="77777777" w:rsidR="001D081A" w:rsidRPr="00F52BD0" w:rsidRDefault="001D081A" w:rsidP="002E66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F52BD0" w14:paraId="09D294AD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320043" w14:textId="77777777" w:rsidR="001D081A" w:rsidRPr="00F52BD0" w:rsidRDefault="003B68D5" w:rsidP="006479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4.2 Supervisor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D40CBAE" w14:textId="77777777" w:rsidR="001D081A" w:rsidRPr="00F52BD0" w:rsidRDefault="001D081A" w:rsidP="00FF31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F0EDE" w:rsidRPr="00F52BD0" w14:paraId="13A3A022" w14:textId="77777777" w:rsidTr="00B53001">
        <w:trPr>
          <w:trHeight w:val="402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AC63CB" w14:textId="5CA5DF44" w:rsidR="001F0EDE" w:rsidRPr="00F52BD0" w:rsidRDefault="00EA07B1" w:rsidP="00EA07B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4.3 Comité Técnico </w:t>
            </w:r>
            <w:r w:rsidR="001F0EDE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Operativo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7D4A98" w14:textId="77777777" w:rsidR="001F0EDE" w:rsidRPr="00F52BD0" w:rsidRDefault="001F0EDE" w:rsidP="00FF31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F52BD0" w14:paraId="4E252E32" w14:textId="77777777" w:rsidTr="00B53001">
        <w:trPr>
          <w:trHeight w:val="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68BE" w14:textId="77777777" w:rsidR="001D081A" w:rsidRPr="00F52BD0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F52BD0" w14:paraId="14A8650F" w14:textId="77777777" w:rsidTr="00B53001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6A00AB" w14:textId="7D51CB9D" w:rsidR="001D081A" w:rsidRPr="00F52BD0" w:rsidRDefault="001D081A" w:rsidP="00D64F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5. Determinación del Objeto Contractual </w:t>
            </w:r>
            <w:r w:rsidRPr="00F52BD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(Descripción</w:t>
            </w:r>
            <w:r w:rsidR="00D64F7D" w:rsidRPr="00F52BD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)</w:t>
            </w:r>
            <w:r w:rsidRPr="00F52BD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 xml:space="preserve"> </w:t>
            </w:r>
            <w:r w:rsidRPr="00F52BD0"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1D081A" w:rsidRPr="00F52BD0" w14:paraId="57672295" w14:textId="77777777" w:rsidTr="00B53001">
        <w:trPr>
          <w:trHeight w:val="645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39A820" w14:textId="77777777" w:rsidR="001D081A" w:rsidRPr="00F52BD0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5.1 Objeto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5664D5" w14:textId="185CFE8C" w:rsidR="00DC48AF" w:rsidRPr="00F52BD0" w:rsidRDefault="00BE1DF2" w:rsidP="004F411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52BD0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  <w:t>.</w:t>
            </w:r>
          </w:p>
        </w:tc>
      </w:tr>
      <w:tr w:rsidR="001D081A" w:rsidRPr="00F52BD0" w14:paraId="1C4FA30B" w14:textId="77777777" w:rsidTr="00B53001">
        <w:trPr>
          <w:trHeight w:val="255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A69ADA" w14:textId="6041F32F" w:rsidR="001D081A" w:rsidRPr="00F52BD0" w:rsidRDefault="003B68D5" w:rsidP="002515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5.2 </w:t>
            </w:r>
            <w:r w:rsidR="00B62152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Aporte</w:t>
            </w:r>
            <w:r w:rsidR="00251566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 la Agencia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8F662D" w14:textId="77777777" w:rsidR="001D081A" w:rsidRPr="00F52BD0" w:rsidRDefault="001D081A" w:rsidP="00DD174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81A" w:rsidRPr="00F52BD0" w14:paraId="10D4F664" w14:textId="77777777" w:rsidTr="00B53001">
        <w:trPr>
          <w:trHeight w:val="525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2E968B" w14:textId="1B11DECA" w:rsidR="001D081A" w:rsidRPr="00F52BD0" w:rsidRDefault="003B68D5" w:rsidP="00B6215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5.3 </w:t>
            </w:r>
            <w:r w:rsidR="00B62152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Desembolso de</w:t>
            </w:r>
            <w:r w:rsidR="00836178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l</w:t>
            </w:r>
            <w:r w:rsidR="00B62152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Aporte</w:t>
            </w:r>
            <w:r w:rsidR="00251566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Agencia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C9BD205" w14:textId="4566994C" w:rsidR="001D081A" w:rsidRPr="00F52BD0" w:rsidRDefault="001D081A" w:rsidP="00ED7F7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D081A" w:rsidRPr="00F52BD0" w14:paraId="382F4093" w14:textId="77777777" w:rsidTr="00B53001">
        <w:trPr>
          <w:trHeight w:val="464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FD155F" w14:textId="77777777" w:rsidR="001D081A" w:rsidRPr="00F52BD0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5.4 Plazo de Ejecución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C29BC73" w14:textId="77777777" w:rsidR="001D081A" w:rsidRPr="00F52BD0" w:rsidRDefault="001D081A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EF3F74" w:rsidRPr="00F52BD0" w14:paraId="04A7DF17" w14:textId="77777777" w:rsidTr="00B53001">
        <w:trPr>
          <w:trHeight w:val="464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0CDD7A" w14:textId="6A0188F2" w:rsidR="00EF3F74" w:rsidRPr="00F52BD0" w:rsidRDefault="00EF3F74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5.5 Lugar de Ejecución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2997845" w14:textId="77777777" w:rsidR="00EF3F74" w:rsidRPr="00F52BD0" w:rsidRDefault="00EF3F74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954AA6" w:rsidRPr="00F52BD0" w14:paraId="6C241A89" w14:textId="77777777" w:rsidTr="00B53001">
        <w:trPr>
          <w:trHeight w:val="545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7CD151B" w14:textId="41EE9910" w:rsidR="00954AA6" w:rsidRPr="00F52BD0" w:rsidRDefault="00836178" w:rsidP="009F008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6</w:t>
            </w: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F0EDE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Compromisos</w:t>
            </w:r>
            <w:r w:rsidR="00954AA6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 las partes</w:t>
            </w:r>
            <w:r w:rsidR="009F0086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6F690F6" w14:textId="77777777" w:rsidR="00954AA6" w:rsidRPr="00F52BD0" w:rsidRDefault="00954AA6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F52BD0" w14:paraId="1437486A" w14:textId="77777777" w:rsidTr="00B53001">
        <w:trPr>
          <w:trHeight w:val="287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6591F799" w14:textId="1F34F23C" w:rsidR="00897AB3" w:rsidRPr="00F52BD0" w:rsidRDefault="00836178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</w:t>
            </w: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F0EDE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Compromisos</w:t>
            </w:r>
            <w:r w:rsidR="00897AB3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 la Agencia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D48D23" w14:textId="77777777" w:rsidR="00897AB3" w:rsidRPr="00F52BD0" w:rsidRDefault="00897AB3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F52BD0" w14:paraId="15E117F9" w14:textId="77777777" w:rsidTr="00B53001">
        <w:trPr>
          <w:trHeight w:val="287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25DD9D9" w14:textId="5C7287D5" w:rsidR="00897AB3" w:rsidRPr="00F52BD0" w:rsidRDefault="00836178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8</w:t>
            </w: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F0EDE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Compromisos</w:t>
            </w:r>
            <w:r w:rsidR="00251566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del </w:t>
            </w:r>
            <w:r w:rsidR="00954AA6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Asociado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7B4A5F" w14:textId="77777777" w:rsidR="00897AB3" w:rsidRPr="00F52BD0" w:rsidRDefault="00897AB3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F52BD0" w14:paraId="4663E5B6" w14:textId="77777777" w:rsidTr="00B53001">
        <w:trPr>
          <w:trHeight w:val="393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01AECA3" w14:textId="3B968366" w:rsidR="001D081A" w:rsidRPr="00F52BD0" w:rsidRDefault="00954AA6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9</w:t>
            </w:r>
            <w:r w:rsidR="003B68D5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D081A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Informes 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F4EE39" w14:textId="77777777" w:rsidR="001D081A" w:rsidRPr="00F52BD0" w:rsidRDefault="001D081A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F52BD0" w14:paraId="4526A5A8" w14:textId="77777777" w:rsidTr="00B53001">
        <w:trPr>
          <w:trHeight w:val="393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33C3441" w14:textId="2C34D3EA" w:rsidR="00897AB3" w:rsidRPr="00F52BD0" w:rsidRDefault="00954AA6" w:rsidP="00EF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EF3F74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10</w:t>
            </w:r>
            <w:r w:rsidR="00897AB3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Plan Operativo y Cronograma</w:t>
            </w:r>
          </w:p>
        </w:tc>
        <w:tc>
          <w:tcPr>
            <w:tcW w:w="28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7AD79CE" w14:textId="77777777" w:rsidR="00897AB3" w:rsidRPr="00F52BD0" w:rsidRDefault="00897AB3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3B68D5" w:rsidRPr="00F52BD0" w14:paraId="18B0D5E4" w14:textId="77777777" w:rsidTr="00B53001">
        <w:trPr>
          <w:trHeight w:val="1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7470" w14:textId="77777777" w:rsidR="003B68D5" w:rsidRPr="00F52BD0" w:rsidRDefault="003B68D5" w:rsidP="003B6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897AB3" w:rsidRPr="00F52BD0" w14:paraId="49B3FF45" w14:textId="77777777" w:rsidTr="00B53001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69E648" w14:textId="5052BE7A" w:rsidR="00897AB3" w:rsidRPr="00F52BD0" w:rsidRDefault="00251566" w:rsidP="00206C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6</w:t>
            </w:r>
            <w:r w:rsidR="00897AB3"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. Clausulado </w:t>
            </w:r>
            <w:r w:rsidR="00206C7E"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a requerir</w:t>
            </w:r>
          </w:p>
        </w:tc>
      </w:tr>
      <w:tr w:rsidR="00897AB3" w:rsidRPr="00F52BD0" w14:paraId="7E1E544E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D04D8C" w14:textId="675AC732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7.1 </w:t>
            </w:r>
            <w:r w:rsidR="001F0EDE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Multa </w:t>
            </w:r>
          </w:p>
          <w:p w14:paraId="1954CCDD" w14:textId="383BB2A6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091C" w14:textId="77777777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F52BD0" w14:paraId="76ABB165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5416C62" w14:textId="4B6E3290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7.2 </w:t>
            </w:r>
            <w:r w:rsidR="00566263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Cláusula Penal Pecuniaria</w:t>
            </w:r>
          </w:p>
          <w:p w14:paraId="6C952C12" w14:textId="19E7E2E4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292" w14:textId="77777777" w:rsidR="00897AB3" w:rsidRPr="00F52BD0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36EA7C17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1FBE318" w14:textId="2CD7A849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7.3 Modificaciones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115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3AD4E5B2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050B254" w14:textId="36EE3E0B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7.4 Cesión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1AF5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793327D3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BB4D4D" w14:textId="5A7952EF" w:rsidR="00566263" w:rsidRPr="00F52BD0" w:rsidRDefault="00566263" w:rsidP="005662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7.5 Exclusión de Relación Laboral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388C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2EDC9C69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FD8270" w14:textId="5AEFADEF" w:rsidR="00566263" w:rsidRPr="00F52BD0" w:rsidRDefault="00566263" w:rsidP="005662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7.6 </w:t>
            </w:r>
            <w:r w:rsidR="00B53001"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Indemnidad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C7D9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715AD7C0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B005BF" w14:textId="03A6B816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7.7 Confidencialidad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3F36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113FC7EC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49AE38" w14:textId="20497500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lastRenderedPageBreak/>
              <w:t>7.8 Propiedad Intelectual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9528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380FE209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D29D16" w14:textId="031E2C2B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7.9 Solución de Controversias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4B3B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F52BD0" w14:paraId="4EA509A0" w14:textId="77777777" w:rsidTr="00B53001">
        <w:trPr>
          <w:trHeight w:val="510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CA897DF" w14:textId="42627275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7.10 Liquidación</w:t>
            </w:r>
          </w:p>
        </w:tc>
        <w:tc>
          <w:tcPr>
            <w:tcW w:w="2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3F53" w14:textId="77777777" w:rsidR="00566263" w:rsidRPr="00F52BD0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F52BD0" w14:paraId="12898709" w14:textId="77777777" w:rsidTr="00B53001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3BDC92" w14:textId="0DA78271" w:rsidR="00897AB3" w:rsidRPr="00F52BD0" w:rsidRDefault="00897AB3" w:rsidP="00206C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8. Tipificación, Cuantificación y Asignación de Riesgos Previsibles, No Asegurables</w:t>
            </w:r>
            <w:r w:rsidR="00836178"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897AB3" w:rsidRPr="00F52BD0" w14:paraId="5815E500" w14:textId="77777777" w:rsidTr="00B53001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0E2E60" w14:textId="5D101EDB" w:rsidR="00897AB3" w:rsidRPr="00F52BD0" w:rsidRDefault="00C20BE1" w:rsidP="00897AB3">
            <w:pPr>
              <w:ind w:right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2BD0">
              <w:rPr>
                <w:rFonts w:ascii="Arial" w:hAnsi="Arial" w:cs="Arial"/>
                <w:sz w:val="18"/>
                <w:szCs w:val="18"/>
              </w:rPr>
              <w:t>En razón a la naturaleza del objeto del contrato/convenio, el tiempo de ejecución y el valor, se presenta la siguiente matriz de riesgo:</w:t>
            </w:r>
          </w:p>
        </w:tc>
      </w:tr>
      <w:tr w:rsidR="00C20BE1" w:rsidRPr="00F52BD0" w14:paraId="53A2135F" w14:textId="77777777" w:rsidTr="00B53001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DD0FD70" w14:textId="77777777" w:rsidR="00C20BE1" w:rsidRPr="00F52BD0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>Tipificación:</w:t>
            </w:r>
          </w:p>
          <w:p w14:paraId="45978C20" w14:textId="77777777" w:rsidR="00C20BE1" w:rsidRPr="00F52BD0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4"/>
              <w:gridCol w:w="564"/>
              <w:gridCol w:w="564"/>
              <w:gridCol w:w="564"/>
              <w:gridCol w:w="564"/>
              <w:gridCol w:w="2394"/>
              <w:gridCol w:w="2713"/>
              <w:gridCol w:w="564"/>
              <w:gridCol w:w="564"/>
              <w:gridCol w:w="564"/>
              <w:gridCol w:w="564"/>
            </w:tblGrid>
            <w:tr w:rsidR="00C20BE1" w:rsidRPr="00B0254B" w14:paraId="67A9FE73" w14:textId="77777777" w:rsidTr="007B7E73">
              <w:trPr>
                <w:trHeight w:val="968"/>
                <w:tblHeader/>
              </w:trPr>
              <w:tc>
                <w:tcPr>
                  <w:tcW w:w="1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1E78AAE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No. 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AC01400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Clase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5CBEEDD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Fuente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B9743DC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Etapa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5135C3C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Tipo</w:t>
                  </w:r>
                </w:p>
              </w:tc>
              <w:tc>
                <w:tcPr>
                  <w:tcW w:w="151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</w:tcPr>
                <w:p w14:paraId="02C659D2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DESCRIPCIÓN</w:t>
                  </w:r>
                </w:p>
                <w:p w14:paraId="0E706FAF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(Qué puede pasar y cómo puede ocurrir)</w:t>
                  </w:r>
                </w:p>
              </w:tc>
              <w:tc>
                <w:tcPr>
                  <w:tcW w:w="15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0A794E5E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Consecuencia de la ocurrencia de la evento</w:t>
                  </w:r>
                </w:p>
              </w:tc>
              <w:tc>
                <w:tcPr>
                  <w:tcW w:w="226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AC022B2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Probabilidad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7FFE97E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5FAD7704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Calificación Total</w:t>
                  </w: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1CBBB20B" w14:textId="77777777" w:rsidR="00C20BE1" w:rsidRPr="00B0254B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B0254B">
                    <w:rPr>
                      <w:rFonts w:ascii="Arial" w:hAnsi="Arial" w:cs="Arial"/>
                      <w:b/>
                      <w:sz w:val="16"/>
                      <w:szCs w:val="16"/>
                    </w:rPr>
                    <w:t>Prioridad</w:t>
                  </w:r>
                </w:p>
              </w:tc>
            </w:tr>
            <w:tr w:rsidR="00C20BE1" w:rsidRPr="00B0254B" w14:paraId="3601A48D" w14:textId="77777777" w:rsidTr="007B7E73">
              <w:trPr>
                <w:cantSplit/>
                <w:trHeight w:val="1185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F93734A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6BAE534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F7D787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1143580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555913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470531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79F1A17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B8D6C6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7142B6C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BD27845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45CC516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B0254B" w14:paraId="1EE76B53" w14:textId="77777777" w:rsidTr="007B7E73">
              <w:trPr>
                <w:cantSplit/>
                <w:trHeight w:val="109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8127A9A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7F66DCA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3DEC45C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41FDF81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5CE28C9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FF8774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FC3E36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8EB8BFD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F6631BE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E8F0EC7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36D072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B0254B" w14:paraId="59EBE515" w14:textId="77777777" w:rsidTr="007B7E73">
              <w:trPr>
                <w:cantSplit/>
                <w:trHeight w:val="1168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0D14B0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DF6CFF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D6529EF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D06919D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00CFB11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089C82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E68FF31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D12DE14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7DE98F4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19EB3DE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066FC5B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B0254B" w14:paraId="039AEC30" w14:textId="77777777" w:rsidTr="007B7E73">
              <w:trPr>
                <w:cantSplit/>
                <w:trHeight w:val="974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9C02F0B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CD99FB8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D1572B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109FA3E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6D1EC79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E69B088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7A60B54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80D58A7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0ECEEB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A24D575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21D92F1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B0254B" w14:paraId="1E1B156F" w14:textId="77777777" w:rsidTr="007B7E73">
              <w:trPr>
                <w:cantSplit/>
                <w:trHeight w:val="110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963AF99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0546955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59B92C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2197E9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5CDB80F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01AFF4D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C0FD5F" w14:textId="77777777" w:rsidR="00C20BE1" w:rsidRPr="00B0254B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4C4FB88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3F257F7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25641C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C7E8E03" w14:textId="77777777" w:rsidR="00C20BE1" w:rsidRPr="00B0254B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4FE1CC1" w14:textId="3F1543A6" w:rsidR="00C20BE1" w:rsidRPr="00F52BD0" w:rsidRDefault="00C20BE1" w:rsidP="00C20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20BE1" w:rsidRPr="00F52BD0" w14:paraId="32DF1479" w14:textId="77777777" w:rsidTr="00B53001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1011FF0C" w14:textId="77777777" w:rsidR="00C20BE1" w:rsidRPr="00F52BD0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 xml:space="preserve">Forma de Mitigarlo: </w:t>
            </w:r>
          </w:p>
          <w:p w14:paraId="1D7219EC" w14:textId="37F08563" w:rsidR="00C20BE1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p w14:paraId="2139FF75" w14:textId="4909F2D6" w:rsidR="00B53001" w:rsidRDefault="00B5300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p w14:paraId="76B4F994" w14:textId="45BAE02A" w:rsidR="00B53001" w:rsidRDefault="00B5300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p w14:paraId="2D367643" w14:textId="77777777" w:rsidR="00B53001" w:rsidRDefault="00B5300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p w14:paraId="474BCD90" w14:textId="77777777" w:rsidR="00B53001" w:rsidRPr="00F52BD0" w:rsidRDefault="00B5300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4"/>
              <w:gridCol w:w="818"/>
              <w:gridCol w:w="1847"/>
              <w:gridCol w:w="564"/>
              <w:gridCol w:w="564"/>
              <w:gridCol w:w="564"/>
              <w:gridCol w:w="564"/>
              <w:gridCol w:w="1008"/>
              <w:gridCol w:w="776"/>
              <w:gridCol w:w="776"/>
              <w:gridCol w:w="1156"/>
              <w:gridCol w:w="982"/>
            </w:tblGrid>
            <w:tr w:rsidR="00C20BE1" w:rsidRPr="00F52BD0" w14:paraId="37B656F4" w14:textId="77777777" w:rsidTr="007B7E73">
              <w:trPr>
                <w:trHeight w:val="622"/>
                <w:tblHeader/>
              </w:trPr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D592CCE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lastRenderedPageBreak/>
                    <w:t xml:space="preserve">No. </w:t>
                  </w:r>
                </w:p>
              </w:tc>
              <w:tc>
                <w:tcPr>
                  <w:tcW w:w="443" w:type="pct"/>
                  <w:vMerge w:val="restart"/>
                  <w:shd w:val="clear" w:color="auto" w:fill="BFBFBF"/>
                  <w:textDirection w:val="btLr"/>
                  <w:hideMark/>
                </w:tcPr>
                <w:p w14:paraId="2118ABE9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¿A quién se le asigna?</w:t>
                  </w:r>
                </w:p>
              </w:tc>
              <w:tc>
                <w:tcPr>
                  <w:tcW w:w="771" w:type="pct"/>
                  <w:vMerge w:val="restart"/>
                  <w:shd w:val="clear" w:color="auto" w:fill="BFBFBF"/>
                  <w:vAlign w:val="center"/>
                  <w:hideMark/>
                </w:tcPr>
                <w:p w14:paraId="4A87D1A6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Tratamiento/Controles a ser implementados</w:t>
                  </w:r>
                </w:p>
              </w:tc>
              <w:tc>
                <w:tcPr>
                  <w:tcW w:w="789" w:type="pct"/>
                  <w:gridSpan w:val="3"/>
                  <w:shd w:val="clear" w:color="auto" w:fill="BFBFBF"/>
                  <w:vAlign w:val="center"/>
                </w:tcPr>
                <w:p w14:paraId="5782BC7F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 después del tratamiento</w:t>
                  </w:r>
                </w:p>
              </w:tc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</w:tcPr>
                <w:p w14:paraId="4D864341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¿Afecta el equilibrio económico del contrato?</w:t>
                  </w:r>
                </w:p>
              </w:tc>
              <w:tc>
                <w:tcPr>
                  <w:tcW w:w="536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2CEFCC4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Persona responsable por implementar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49C3B11C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 estimada en que se inicia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736E6B11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 estimada en que se completa el tratamiento</w:t>
                  </w:r>
                </w:p>
              </w:tc>
              <w:tc>
                <w:tcPr>
                  <w:tcW w:w="1091" w:type="pct"/>
                  <w:gridSpan w:val="2"/>
                  <w:shd w:val="clear" w:color="auto" w:fill="BFBFBF"/>
                  <w:vAlign w:val="center"/>
                </w:tcPr>
                <w:p w14:paraId="6E0E5A97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Monitoreo y revisión</w:t>
                  </w:r>
                </w:p>
              </w:tc>
            </w:tr>
            <w:tr w:rsidR="00C20BE1" w:rsidRPr="00F52BD0" w14:paraId="75CD0295" w14:textId="77777777" w:rsidTr="007B7E73">
              <w:trPr>
                <w:cantSplit/>
                <w:trHeight w:val="1411"/>
                <w:tblHeader/>
              </w:trPr>
              <w:tc>
                <w:tcPr>
                  <w:tcW w:w="263" w:type="pct"/>
                  <w:vMerge/>
                  <w:shd w:val="clear" w:color="auto" w:fill="BFBFBF"/>
                  <w:textDirection w:val="btLr"/>
                  <w:vAlign w:val="center"/>
                </w:tcPr>
                <w:p w14:paraId="6932B178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vMerge/>
                  <w:shd w:val="clear" w:color="auto" w:fill="BFBFBF"/>
                  <w:textDirection w:val="btLr"/>
                </w:tcPr>
                <w:p w14:paraId="58CF38D6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vMerge/>
                  <w:shd w:val="clear" w:color="auto" w:fill="BFBFBF"/>
                  <w:vAlign w:val="center"/>
                </w:tcPr>
                <w:p w14:paraId="20C44754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  <w:vAlign w:val="center"/>
                </w:tcPr>
                <w:p w14:paraId="24F13656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Probabilidad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54BE4C65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23859FA7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Calificación Total</w:t>
                  </w:r>
                </w:p>
              </w:tc>
              <w:tc>
                <w:tcPr>
                  <w:tcW w:w="263" w:type="pct"/>
                  <w:vMerge/>
                  <w:shd w:val="clear" w:color="auto" w:fill="BFBFBF"/>
                  <w:vAlign w:val="center"/>
                </w:tcPr>
                <w:p w14:paraId="584A7ECA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vMerge/>
                  <w:shd w:val="clear" w:color="auto" w:fill="BFBFBF"/>
                  <w:vAlign w:val="center"/>
                </w:tcPr>
                <w:p w14:paraId="3CEF034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385D3985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6B7479C8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BFBFBF"/>
                  <w:textDirection w:val="btLr"/>
                  <w:vAlign w:val="center"/>
                </w:tcPr>
                <w:p w14:paraId="6E70DF05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¿Cómo se realiza el monitoreo?</w:t>
                  </w:r>
                </w:p>
              </w:tc>
              <w:tc>
                <w:tcPr>
                  <w:tcW w:w="483" w:type="pct"/>
                  <w:shd w:val="clear" w:color="auto" w:fill="BFBFBF"/>
                  <w:textDirection w:val="btLr"/>
                  <w:vAlign w:val="center"/>
                </w:tcPr>
                <w:p w14:paraId="7B28BC46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Periodicidad </w:t>
                  </w:r>
                </w:p>
                <w:p w14:paraId="64CBB433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52BD0">
                    <w:rPr>
                      <w:rFonts w:ascii="Arial" w:hAnsi="Arial" w:cs="Arial"/>
                      <w:b/>
                      <w:sz w:val="16"/>
                      <w:szCs w:val="16"/>
                    </w:rPr>
                    <w:t>¿Cuándo?</w:t>
                  </w:r>
                </w:p>
              </w:tc>
            </w:tr>
            <w:tr w:rsidR="00C20BE1" w:rsidRPr="00F52BD0" w14:paraId="3A50F190" w14:textId="77777777" w:rsidTr="007B7E73">
              <w:trPr>
                <w:cantSplit/>
                <w:trHeight w:val="1134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54E90A36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B398BAB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9AFCEA0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896B01C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7EEEFCC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647245D7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0EEE360E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39C6E9B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034C2101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A9ADE09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4244BB5D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61D4C330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F52BD0" w14:paraId="6A9F8A0C" w14:textId="77777777" w:rsidTr="007B7E73">
              <w:trPr>
                <w:cantSplit/>
                <w:trHeight w:val="139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4FF51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6C7A0350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1FDE085A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3F33AF1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528E5A6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4CFEF0B0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6B64728A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78B19D6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E6AEA66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66AF4C14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6E069360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D50AA3C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F52BD0" w14:paraId="0C6EEA03" w14:textId="77777777" w:rsidTr="007B7E73">
              <w:trPr>
                <w:cantSplit/>
                <w:trHeight w:val="1099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057FEECA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7F87B99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2AA699C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A2550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4A4885E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7105909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3494C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13C35FE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DEFFE60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AFEB66A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18A8EA89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233A3E26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53001" w:rsidRPr="00F52BD0" w14:paraId="5E07DA0F" w14:textId="77777777" w:rsidTr="007B7E73">
              <w:trPr>
                <w:cantSplit/>
                <w:trHeight w:val="1099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57EB5117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7992C8C7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0F2D69F0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5C45E88A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00F6D37F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181C6F0E" w14:textId="77777777" w:rsidR="00B53001" w:rsidRPr="00F52BD0" w:rsidRDefault="00B5300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15DD1D3E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5EB7987E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44620E79" w14:textId="77777777" w:rsidR="00B53001" w:rsidRPr="00F52BD0" w:rsidRDefault="00B5300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00D2214F" w14:textId="77777777" w:rsidR="00B53001" w:rsidRPr="00F52BD0" w:rsidRDefault="00B5300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18549603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00BC16B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53001" w:rsidRPr="00F52BD0" w14:paraId="5D3F710E" w14:textId="77777777" w:rsidTr="007B7E73">
              <w:trPr>
                <w:cantSplit/>
                <w:trHeight w:val="1099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652D7A31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CB590AE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7C7C25BE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1C0F59D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29B7129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405105AA" w14:textId="77777777" w:rsidR="00B53001" w:rsidRPr="00F52BD0" w:rsidRDefault="00B5300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7F532771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341D0E57" w14:textId="77777777" w:rsidR="00B53001" w:rsidRPr="00F52BD0" w:rsidRDefault="00B5300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9BBF5D9" w14:textId="77777777" w:rsidR="00B53001" w:rsidRPr="00F52BD0" w:rsidRDefault="00B5300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AD3624C" w14:textId="77777777" w:rsidR="00B53001" w:rsidRPr="00F52BD0" w:rsidRDefault="00B5300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3A6EB6A1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44612118" w14:textId="77777777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F52BD0" w14:paraId="73BC6847" w14:textId="77777777" w:rsidTr="007B7E73">
              <w:trPr>
                <w:cantSplit/>
                <w:trHeight w:val="141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6141D08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CAA6844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506EC08F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3DE0F3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8FA3541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1D9BFA6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9A369E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3C2E3A38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47C429F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3E14A428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38EA5691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1107CFD2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F52BD0" w14:paraId="67B69DD0" w14:textId="77777777" w:rsidTr="007B7E73">
              <w:trPr>
                <w:cantSplit/>
                <w:trHeight w:val="115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DF96674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3DC30F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0630FCF8" w14:textId="77777777" w:rsidR="00C20BE1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CF1BED2" w14:textId="77777777" w:rsidR="00B53001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2FB63F6" w14:textId="77777777" w:rsidR="00B53001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450F7C7" w14:textId="77777777" w:rsidR="00B53001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14EDF0D" w14:textId="513689CA" w:rsidR="00B53001" w:rsidRPr="00F52BD0" w:rsidRDefault="00B5300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9CFCA78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739721C7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07F7B460" w14:textId="77777777" w:rsidR="00C20BE1" w:rsidRPr="00F52BD0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4CF7BB3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6C95E0A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6298192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15C9303" w14:textId="77777777" w:rsidR="00C20BE1" w:rsidRPr="00F52BD0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27808CD1" w14:textId="77777777" w:rsidR="00C20BE1" w:rsidRPr="00F52BD0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9A706A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78E22EF" w14:textId="77777777" w:rsidR="00C20BE1" w:rsidRPr="00F52BD0" w:rsidRDefault="00C20BE1" w:rsidP="00C20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20BE1" w:rsidRPr="00F52BD0" w14:paraId="61FFCCC9" w14:textId="77777777" w:rsidTr="00B53001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7BD8E" w14:textId="5DD30112" w:rsidR="00C20BE1" w:rsidRPr="00F52BD0" w:rsidRDefault="00C20BE1" w:rsidP="00710A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F52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lastRenderedPageBreak/>
              <w:t>9. Indicación de las Coberturas de los Riesgos Asegurables</w:t>
            </w:r>
          </w:p>
        </w:tc>
      </w:tr>
      <w:tr w:rsidR="00C20BE1" w:rsidRPr="00F52BD0" w14:paraId="5FAC6B3E" w14:textId="77777777" w:rsidTr="00B53001">
        <w:trPr>
          <w:trHeight w:val="420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60153C" w14:textId="77777777" w:rsidR="00C20BE1" w:rsidRPr="00F52BD0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2BD0">
              <w:rPr>
                <w:rFonts w:ascii="Arial" w:hAnsi="Arial" w:cs="Arial"/>
                <w:sz w:val="18"/>
                <w:szCs w:val="18"/>
              </w:rPr>
              <w:t xml:space="preserve"> De acuerdo con lo establecido en el artículo 7 de la Ley 1150 de 2007, el numeral 7 del artículo 2.2.1.1.2.1.1 y el Libro 2, Parte 2 Capítulo I, Sección 3 del Decreto 1082 de 2015, la entidad ejecutora deberá amparar los riesgos derivados de la presente contratación, de conformidad con la siguiente tabla: </w:t>
            </w:r>
          </w:p>
          <w:p w14:paraId="692F6B0F" w14:textId="7196B0B6" w:rsidR="00C20BE1" w:rsidRPr="00F52BD0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501B9C" w14:textId="30FA53E1" w:rsidR="00C20BE1" w:rsidRPr="00F52BD0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52BD0"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  <w:t>Para los casos en que por cuantía no se requiera pactar garantías, deberá dejarse el siguiente texto “</w:t>
            </w:r>
            <w:r w:rsidRPr="00F52BD0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Teniendo en cuenta la naturaleza se considera que no es necesario exigir garantías, de tal manera que se dará aplicación a lo dispuesto en el inciso 5º del artículo 7º de la Ley 1150 de 2007, y el artículo 2.2.1.2.1.4.5 del Decreto 1082 de 2015”</w:t>
            </w:r>
          </w:p>
          <w:tbl>
            <w:tblPr>
              <w:tblpPr w:leftFromText="141" w:rightFromText="141" w:vertAnchor="text" w:horzAnchor="margin" w:tblpY="186"/>
              <w:tblW w:w="85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7"/>
              <w:gridCol w:w="1480"/>
              <w:gridCol w:w="1480"/>
              <w:gridCol w:w="2691"/>
            </w:tblGrid>
            <w:tr w:rsidR="00C20BE1" w:rsidRPr="00F52BD0" w14:paraId="5A902811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2B14E9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F52BD0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Riesgo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ECE0F28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F52BD0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 xml:space="preserve">Porcentaje 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228233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F52BD0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Sobre el valor</w:t>
                  </w: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DB9281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F52BD0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Vigencia</w:t>
                  </w:r>
                </w:p>
              </w:tc>
            </w:tr>
            <w:tr w:rsidR="00C20BE1" w:rsidRPr="00F52BD0" w14:paraId="142E9E6B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75DFFC5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C2A227A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7796A1B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7E841BC" w14:textId="77777777" w:rsidR="00C20BE1" w:rsidRPr="00F52BD0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</w:tr>
          </w:tbl>
          <w:p w14:paraId="5B802F88" w14:textId="77777777" w:rsidR="00C20BE1" w:rsidRPr="00F52BD0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54DA84" w14:textId="4AC45428" w:rsidR="003E1AD8" w:rsidRDefault="003E1AD8">
      <w:pPr>
        <w:rPr>
          <w:rFonts w:ascii="Arial" w:hAnsi="Arial" w:cs="Arial"/>
          <w:sz w:val="18"/>
          <w:szCs w:val="18"/>
        </w:rPr>
      </w:pPr>
    </w:p>
    <w:tbl>
      <w:tblPr>
        <w:tblW w:w="5058" w:type="pct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6"/>
        <w:gridCol w:w="5232"/>
      </w:tblGrid>
      <w:tr w:rsidR="005C3AF0" w14:paraId="3DEBF628" w14:textId="77777777" w:rsidTr="001C0C95">
        <w:trPr>
          <w:trHeight w:val="70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35C2C7" w14:textId="77777777" w:rsidR="005C3AF0" w:rsidRDefault="005C3AF0" w:rsidP="001C0C95"/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E14AC" w14:textId="77777777" w:rsidR="005C3AF0" w:rsidRDefault="005C3AF0" w:rsidP="001C0C95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5C3AF0" w14:paraId="7B85197A" w14:textId="77777777" w:rsidTr="001C0C95">
        <w:trPr>
          <w:trHeight w:val="705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4F370C" w14:textId="77777777" w:rsidR="005C3AF0" w:rsidRDefault="005C3AF0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Firma:</w:t>
            </w:r>
          </w:p>
        </w:tc>
        <w:tc>
          <w:tcPr>
            <w:tcW w:w="2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FF8B06" w14:textId="77777777" w:rsidR="005C3AF0" w:rsidRDefault="005C3AF0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5C3AF0" w14:paraId="11CC48FC" w14:textId="77777777" w:rsidTr="001C0C95">
        <w:trPr>
          <w:trHeight w:val="420"/>
        </w:trPr>
        <w:tc>
          <w:tcPr>
            <w:tcW w:w="24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2F5548" w14:textId="77777777" w:rsidR="005C3AF0" w:rsidRDefault="005C3AF0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Nombre: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E77DA6" w14:textId="77777777" w:rsidR="005C3AF0" w:rsidRDefault="005C3AF0" w:rsidP="001C0C95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C3AF0" w14:paraId="4C89BC52" w14:textId="77777777" w:rsidTr="001C0C95">
        <w:trPr>
          <w:trHeight w:val="520"/>
        </w:trPr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B2CD" w14:textId="77777777" w:rsidR="005C3AF0" w:rsidRDefault="005C3AF0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9058B5" w14:textId="77777777" w:rsidR="005C3AF0" w:rsidRDefault="005C3AF0" w:rsidP="001C0C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  <w:p w14:paraId="5FA809B8" w14:textId="77777777" w:rsidR="005C3AF0" w:rsidRDefault="005C3AF0" w:rsidP="001C0C95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</w:tbl>
    <w:p w14:paraId="68DD69EE" w14:textId="77777777" w:rsidR="005C3AF0" w:rsidRPr="00F52BD0" w:rsidRDefault="005C3AF0">
      <w:pPr>
        <w:rPr>
          <w:rFonts w:ascii="Arial" w:hAnsi="Arial" w:cs="Arial"/>
          <w:sz w:val="18"/>
          <w:szCs w:val="18"/>
        </w:rPr>
      </w:pPr>
    </w:p>
    <w:sectPr w:rsidR="005C3AF0" w:rsidRPr="00F52BD0" w:rsidSect="00B53001">
      <w:headerReference w:type="default" r:id="rId10"/>
      <w:footerReference w:type="default" r:id="rId11"/>
      <w:pgSz w:w="12240" w:h="15840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B0923" w14:textId="77777777" w:rsidR="007D0BE8" w:rsidRDefault="007D0BE8" w:rsidP="00F240E7">
      <w:pPr>
        <w:spacing w:after="0" w:line="240" w:lineRule="auto"/>
      </w:pPr>
      <w:r>
        <w:separator/>
      </w:r>
    </w:p>
  </w:endnote>
  <w:endnote w:type="continuationSeparator" w:id="0">
    <w:p w14:paraId="0F642EE1" w14:textId="77777777" w:rsidR="007D0BE8" w:rsidRDefault="007D0BE8" w:rsidP="00F2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7EEA" w14:textId="3C1BECB9" w:rsidR="003A0485" w:rsidRDefault="0006018F">
    <w:pPr>
      <w:pStyle w:val="Piedepgin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6554D40" wp14:editId="4D64A730">
          <wp:simplePos x="0" y="0"/>
          <wp:positionH relativeFrom="column">
            <wp:posOffset>3771900</wp:posOffset>
          </wp:positionH>
          <wp:positionV relativeFrom="paragraph">
            <wp:posOffset>-66675</wp:posOffset>
          </wp:positionV>
          <wp:extent cx="2872846" cy="457200"/>
          <wp:effectExtent l="0" t="0" r="3810" b="0"/>
          <wp:wrapNone/>
          <wp:docPr id="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46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1610" w14:textId="77777777" w:rsidR="007D0BE8" w:rsidRDefault="007D0BE8" w:rsidP="00F240E7">
      <w:pPr>
        <w:spacing w:after="0" w:line="240" w:lineRule="auto"/>
      </w:pPr>
      <w:r>
        <w:separator/>
      </w:r>
    </w:p>
  </w:footnote>
  <w:footnote w:type="continuationSeparator" w:id="0">
    <w:p w14:paraId="16E981EB" w14:textId="77777777" w:rsidR="007D0BE8" w:rsidRDefault="007D0BE8" w:rsidP="00F2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52" w:type="pct"/>
      <w:tblInd w:w="-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68"/>
      <w:gridCol w:w="1526"/>
      <w:gridCol w:w="4336"/>
      <w:gridCol w:w="1260"/>
      <w:gridCol w:w="1276"/>
    </w:tblGrid>
    <w:tr w:rsidR="00B53001" w:rsidRPr="00F177E3" w14:paraId="051B76E5" w14:textId="77777777" w:rsidTr="00B53001">
      <w:trPr>
        <w:trHeight w:val="596"/>
      </w:trPr>
      <w:tc>
        <w:tcPr>
          <w:tcW w:w="82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00FD2EBE" w14:textId="7E0E1C1F" w:rsidR="003A0485" w:rsidRPr="00217FEA" w:rsidRDefault="00592625" w:rsidP="003A0485">
          <w:pPr>
            <w:jc w:val="center"/>
            <w:rPr>
              <w:sz w:val="12"/>
              <w:szCs w:val="12"/>
            </w:rPr>
          </w:pPr>
          <w:r w:rsidRPr="008E5300">
            <w:rPr>
              <w:noProof/>
              <w:lang w:val="es-CO" w:eastAsia="es-CO"/>
            </w:rPr>
            <w:drawing>
              <wp:anchor distT="0" distB="0" distL="114300" distR="114300" simplePos="0" relativeHeight="251663360" behindDoc="1" locked="0" layoutInCell="1" allowOverlap="1" wp14:anchorId="01DCB88C" wp14:editId="2D4F6118">
                <wp:simplePos x="0" y="0"/>
                <wp:positionH relativeFrom="margin">
                  <wp:posOffset>24130</wp:posOffset>
                </wp:positionH>
                <wp:positionV relativeFrom="paragraph">
                  <wp:posOffset>-426085</wp:posOffset>
                </wp:positionV>
                <wp:extent cx="928370" cy="733425"/>
                <wp:effectExtent l="0" t="0" r="508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370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BF6EA98" w14:textId="0877FC13" w:rsidR="003A0485" w:rsidRPr="00217FEA" w:rsidRDefault="003A0485" w:rsidP="003A0485">
          <w:pPr>
            <w:jc w:val="center"/>
            <w:rPr>
              <w:sz w:val="12"/>
              <w:szCs w:val="12"/>
            </w:rPr>
          </w:pPr>
        </w:p>
        <w:p w14:paraId="1A928C35" w14:textId="77777777" w:rsidR="003A0485" w:rsidRPr="00217FEA" w:rsidRDefault="003A0485" w:rsidP="003A0485">
          <w:pPr>
            <w:jc w:val="center"/>
            <w:rPr>
              <w:rFonts w:ascii="Arial" w:hAnsi="Arial" w:cs="Arial"/>
              <w:b/>
              <w:sz w:val="12"/>
              <w:szCs w:val="12"/>
              <w:lang w:eastAsia="es-CO"/>
            </w:rPr>
          </w:pPr>
        </w:p>
      </w:tc>
      <w:tc>
        <w:tcPr>
          <w:tcW w:w="7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3199B12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FORMA</w:t>
          </w:r>
        </w:p>
      </w:tc>
      <w:tc>
        <w:tcPr>
          <w:tcW w:w="21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85EBA27" w14:textId="3FC7E7F3" w:rsidR="003A0485" w:rsidRPr="00BE346E" w:rsidRDefault="00925158" w:rsidP="00BE346E">
          <w:pPr>
            <w:spacing w:after="0"/>
            <w:jc w:val="center"/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</w:pPr>
          <w:r w:rsidRPr="00BE346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JUSTIFICACIÓN</w:t>
          </w:r>
          <w:r w:rsidR="00BE346E" w:rsidRPr="00BE346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 xml:space="preserve"> CONVENIOS DE ASOCIACIÓN CON ENTIDADES PRIVADAS SIN ÁNIMO DE LUCRO Y DE RECONOCIDA IDONEIDAD</w:t>
          </w:r>
        </w:p>
      </w:tc>
      <w:tc>
        <w:tcPr>
          <w:tcW w:w="62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35181345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CÓDIGO</w:t>
          </w:r>
        </w:p>
      </w:tc>
      <w:tc>
        <w:tcPr>
          <w:tcW w:w="6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7A80D84" w14:textId="3DF52C40" w:rsidR="003A0485" w:rsidRPr="00B53001" w:rsidRDefault="00BE346E" w:rsidP="00B53001">
          <w:pPr>
            <w:pStyle w:val="Sinespaciado"/>
            <w:jc w:val="center"/>
            <w:rPr>
              <w:rFonts w:ascii="Arial Narrow" w:hAnsi="Arial Narrow"/>
              <w:sz w:val="20"/>
              <w:szCs w:val="20"/>
            </w:rPr>
          </w:pPr>
          <w:r w:rsidRPr="00B53001">
            <w:rPr>
              <w:rFonts w:ascii="Arial Narrow" w:hAnsi="Arial Narrow"/>
              <w:sz w:val="20"/>
              <w:szCs w:val="20"/>
            </w:rPr>
            <w:t>ADQBS-F-</w:t>
          </w:r>
          <w:r w:rsidR="00592625" w:rsidRPr="00B53001">
            <w:rPr>
              <w:rFonts w:ascii="Arial Narrow" w:hAnsi="Arial Narrow"/>
              <w:sz w:val="20"/>
              <w:szCs w:val="20"/>
            </w:rPr>
            <w:t>018</w:t>
          </w:r>
        </w:p>
      </w:tc>
    </w:tr>
    <w:tr w:rsidR="00B53001" w:rsidRPr="00F177E3" w14:paraId="540D83AC" w14:textId="77777777" w:rsidTr="00B53001">
      <w:trPr>
        <w:trHeight w:val="277"/>
      </w:trPr>
      <w:tc>
        <w:tcPr>
          <w:tcW w:w="82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ACDF13" w14:textId="77777777" w:rsidR="003A0485" w:rsidRPr="00217FEA" w:rsidRDefault="003A0485" w:rsidP="003A0485">
          <w:pPr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7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47F69200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ACTIVIDAD</w:t>
          </w:r>
        </w:p>
      </w:tc>
      <w:tc>
        <w:tcPr>
          <w:tcW w:w="21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0ECD5CE" w14:textId="5323A139" w:rsidR="003A0485" w:rsidRPr="00BE346E" w:rsidRDefault="003A0485" w:rsidP="00BE346E">
          <w:pPr>
            <w:spacing w:after="0"/>
            <w:jc w:val="center"/>
            <w:rPr>
              <w:rFonts w:ascii="Arial Narrow" w:hAnsi="Arial Narrow" w:cs="Arial"/>
              <w:bCs/>
              <w:caps/>
              <w:sz w:val="20"/>
              <w:szCs w:val="20"/>
              <w:lang w:eastAsia="es-CO"/>
            </w:rPr>
          </w:pPr>
          <w:r w:rsidRPr="00BE346E">
            <w:rPr>
              <w:rFonts w:ascii="Arial Narrow" w:hAnsi="Arial Narrow" w:cs="Arial"/>
              <w:bCs/>
              <w:caps/>
              <w:sz w:val="20"/>
              <w:szCs w:val="20"/>
              <w:lang w:eastAsia="es-CO"/>
            </w:rPr>
            <w:t xml:space="preserve">PLANIFICACIÓN DE LAS NECESIDADES DE BIENES Y SERVICIOS DE LA </w:t>
          </w:r>
          <w:r w:rsidR="00563AF8" w:rsidRPr="00BE346E">
            <w:rPr>
              <w:rFonts w:ascii="Arial Narrow" w:hAnsi="Arial Narrow" w:cs="Arial"/>
              <w:bCs/>
              <w:caps/>
              <w:sz w:val="20"/>
              <w:szCs w:val="20"/>
              <w:lang w:eastAsia="es-CO"/>
            </w:rPr>
            <w:t>ENTIDAD</w:t>
          </w:r>
        </w:p>
      </w:tc>
      <w:tc>
        <w:tcPr>
          <w:tcW w:w="62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08D31389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VERSIÓN</w:t>
          </w:r>
        </w:p>
      </w:tc>
      <w:tc>
        <w:tcPr>
          <w:tcW w:w="6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4A11E20" w14:textId="026A6C3E" w:rsidR="003A0485" w:rsidRPr="00B53001" w:rsidRDefault="00BE346E" w:rsidP="00B53001">
          <w:pPr>
            <w:pStyle w:val="Sinespaciad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/>
              <w:sz w:val="20"/>
              <w:szCs w:val="20"/>
              <w:lang w:eastAsia="es-CO"/>
            </w:rPr>
            <w:t>1</w:t>
          </w:r>
        </w:p>
      </w:tc>
    </w:tr>
    <w:tr w:rsidR="00B53001" w:rsidRPr="00F177E3" w14:paraId="2ADB46CE" w14:textId="77777777" w:rsidTr="00B53001">
      <w:trPr>
        <w:trHeight w:val="59"/>
      </w:trPr>
      <w:tc>
        <w:tcPr>
          <w:tcW w:w="82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81335B" w14:textId="77777777" w:rsidR="003A0485" w:rsidRPr="00217FEA" w:rsidRDefault="003A0485" w:rsidP="003A0485">
          <w:pPr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7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689BE3AD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PROCEDIMIENTO</w:t>
          </w:r>
        </w:p>
      </w:tc>
      <w:tc>
        <w:tcPr>
          <w:tcW w:w="21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7A57D6" w14:textId="091CCAB6" w:rsidR="003A0485" w:rsidRPr="00BE346E" w:rsidRDefault="00BE346E" w:rsidP="00BE346E">
          <w:pPr>
            <w:spacing w:after="0"/>
            <w:jc w:val="center"/>
            <w:rPr>
              <w:rFonts w:ascii="Arial Narrow" w:hAnsi="Arial Narrow" w:cs="Arial"/>
              <w:bCs/>
              <w:caps/>
              <w:sz w:val="20"/>
              <w:szCs w:val="20"/>
              <w:lang w:eastAsia="es-CO"/>
            </w:rPr>
          </w:pPr>
          <w:r w:rsidRPr="00BE346E">
            <w:rPr>
              <w:rFonts w:ascii="Arial Narrow" w:hAnsi="Arial Narrow" w:cs="Arial"/>
              <w:bCs/>
              <w:caps/>
              <w:sz w:val="20"/>
              <w:szCs w:val="20"/>
              <w:lang w:eastAsia="es-CO"/>
            </w:rPr>
            <w:t>ADQUISICIÓN DE BIENES Y SERVICIOS</w:t>
          </w:r>
        </w:p>
      </w:tc>
      <w:tc>
        <w:tcPr>
          <w:tcW w:w="62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53888D79" w14:textId="77777777" w:rsidR="003A0485" w:rsidRPr="00B53001" w:rsidRDefault="003A0485" w:rsidP="00B53001">
          <w:pPr>
            <w:pStyle w:val="Sinespaciado"/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 w:cs="Arial"/>
              <w:b/>
              <w:sz w:val="20"/>
              <w:szCs w:val="20"/>
              <w:lang w:eastAsia="es-CO"/>
            </w:rPr>
            <w:t>FECHA</w:t>
          </w:r>
        </w:p>
      </w:tc>
      <w:tc>
        <w:tcPr>
          <w:tcW w:w="6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8A847E7" w14:textId="594CA225" w:rsidR="003A0485" w:rsidRPr="00B53001" w:rsidRDefault="00BE346E" w:rsidP="00B53001">
          <w:pPr>
            <w:pStyle w:val="Sinespaciad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 w:rsidRPr="00B53001">
            <w:rPr>
              <w:rFonts w:ascii="Arial Narrow" w:hAnsi="Arial Narrow"/>
              <w:sz w:val="20"/>
              <w:szCs w:val="20"/>
              <w:lang w:eastAsia="es-CO"/>
            </w:rPr>
            <w:t>16/</w:t>
          </w:r>
          <w:r w:rsidR="0006018F">
            <w:rPr>
              <w:rFonts w:ascii="Arial Narrow" w:hAnsi="Arial Narrow"/>
              <w:sz w:val="20"/>
              <w:szCs w:val="20"/>
              <w:lang w:eastAsia="es-CO"/>
            </w:rPr>
            <w:t>0</w:t>
          </w:r>
          <w:r w:rsidRPr="00B53001">
            <w:rPr>
              <w:rFonts w:ascii="Arial Narrow" w:hAnsi="Arial Narrow"/>
              <w:sz w:val="20"/>
              <w:szCs w:val="20"/>
              <w:lang w:eastAsia="es-CO"/>
            </w:rPr>
            <w:t>8/2019</w:t>
          </w:r>
        </w:p>
      </w:tc>
    </w:tr>
  </w:tbl>
  <w:p w14:paraId="4B522488" w14:textId="77777777" w:rsidR="00F240E7" w:rsidRDefault="00F240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C1"/>
    <w:multiLevelType w:val="multilevel"/>
    <w:tmpl w:val="5330E3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1A2B14"/>
    <w:multiLevelType w:val="multilevel"/>
    <w:tmpl w:val="9FD88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5071D"/>
    <w:multiLevelType w:val="multilevel"/>
    <w:tmpl w:val="58CE4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D727D6"/>
    <w:multiLevelType w:val="multilevel"/>
    <w:tmpl w:val="ECC024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DBE3ACE"/>
    <w:multiLevelType w:val="hybridMultilevel"/>
    <w:tmpl w:val="6472E676"/>
    <w:lvl w:ilvl="0" w:tplc="C1660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916198">
    <w:abstractNumId w:val="2"/>
  </w:num>
  <w:num w:numId="2" w16cid:durableId="2058159412">
    <w:abstractNumId w:val="1"/>
  </w:num>
  <w:num w:numId="3" w16cid:durableId="1683512868">
    <w:abstractNumId w:val="3"/>
  </w:num>
  <w:num w:numId="4" w16cid:durableId="379062047">
    <w:abstractNumId w:val="0"/>
  </w:num>
  <w:num w:numId="5" w16cid:durableId="20275191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81"/>
    <w:rsid w:val="0003100A"/>
    <w:rsid w:val="00057EC3"/>
    <w:rsid w:val="0006018F"/>
    <w:rsid w:val="00075E62"/>
    <w:rsid w:val="000C75FC"/>
    <w:rsid w:val="001043B5"/>
    <w:rsid w:val="001172BA"/>
    <w:rsid w:val="00133F58"/>
    <w:rsid w:val="001A2E58"/>
    <w:rsid w:val="001D081A"/>
    <w:rsid w:val="001F0EDE"/>
    <w:rsid w:val="00206C7E"/>
    <w:rsid w:val="00210D90"/>
    <w:rsid w:val="0021753E"/>
    <w:rsid w:val="00223054"/>
    <w:rsid w:val="002303E3"/>
    <w:rsid w:val="00237787"/>
    <w:rsid w:val="00251566"/>
    <w:rsid w:val="00273E71"/>
    <w:rsid w:val="00274CAF"/>
    <w:rsid w:val="0028296D"/>
    <w:rsid w:val="00283684"/>
    <w:rsid w:val="002E66BC"/>
    <w:rsid w:val="00304CA5"/>
    <w:rsid w:val="00327BB0"/>
    <w:rsid w:val="003346BB"/>
    <w:rsid w:val="00387D7A"/>
    <w:rsid w:val="003A0485"/>
    <w:rsid w:val="003B68D5"/>
    <w:rsid w:val="003B70A8"/>
    <w:rsid w:val="003D5F3F"/>
    <w:rsid w:val="003E1AD8"/>
    <w:rsid w:val="004119EC"/>
    <w:rsid w:val="0041501A"/>
    <w:rsid w:val="00427E94"/>
    <w:rsid w:val="00436EFA"/>
    <w:rsid w:val="004376B4"/>
    <w:rsid w:val="00446C0A"/>
    <w:rsid w:val="00462543"/>
    <w:rsid w:val="004C247C"/>
    <w:rsid w:val="004E1BBC"/>
    <w:rsid w:val="004E33AC"/>
    <w:rsid w:val="004E4598"/>
    <w:rsid w:val="004E546D"/>
    <w:rsid w:val="004F411C"/>
    <w:rsid w:val="00507DE6"/>
    <w:rsid w:val="00551104"/>
    <w:rsid w:val="00563AF8"/>
    <w:rsid w:val="00566263"/>
    <w:rsid w:val="00566BAA"/>
    <w:rsid w:val="00592625"/>
    <w:rsid w:val="005C3AF0"/>
    <w:rsid w:val="005C5EE1"/>
    <w:rsid w:val="005E2773"/>
    <w:rsid w:val="005E3BFB"/>
    <w:rsid w:val="00600AFC"/>
    <w:rsid w:val="00607149"/>
    <w:rsid w:val="00631397"/>
    <w:rsid w:val="00633E19"/>
    <w:rsid w:val="006462A5"/>
    <w:rsid w:val="006479C7"/>
    <w:rsid w:val="006D55F7"/>
    <w:rsid w:val="006E79CA"/>
    <w:rsid w:val="00710A5B"/>
    <w:rsid w:val="00726B41"/>
    <w:rsid w:val="007465CD"/>
    <w:rsid w:val="007B4075"/>
    <w:rsid w:val="007C7993"/>
    <w:rsid w:val="007D0BE8"/>
    <w:rsid w:val="007D3CD6"/>
    <w:rsid w:val="007D5E12"/>
    <w:rsid w:val="007E19B4"/>
    <w:rsid w:val="00836178"/>
    <w:rsid w:val="008543BD"/>
    <w:rsid w:val="008634A9"/>
    <w:rsid w:val="00897AB3"/>
    <w:rsid w:val="008A3C80"/>
    <w:rsid w:val="008C3BCC"/>
    <w:rsid w:val="008D6CA2"/>
    <w:rsid w:val="00925158"/>
    <w:rsid w:val="00940239"/>
    <w:rsid w:val="00943728"/>
    <w:rsid w:val="00954AA6"/>
    <w:rsid w:val="00994CC3"/>
    <w:rsid w:val="009956B6"/>
    <w:rsid w:val="009C4554"/>
    <w:rsid w:val="009D160F"/>
    <w:rsid w:val="009E6BF6"/>
    <w:rsid w:val="009F0086"/>
    <w:rsid w:val="009F2C4B"/>
    <w:rsid w:val="009F511E"/>
    <w:rsid w:val="009F53F2"/>
    <w:rsid w:val="009F6DE8"/>
    <w:rsid w:val="00A177A3"/>
    <w:rsid w:val="00A2174F"/>
    <w:rsid w:val="00A26966"/>
    <w:rsid w:val="00A82B89"/>
    <w:rsid w:val="00AA036D"/>
    <w:rsid w:val="00AC7C5C"/>
    <w:rsid w:val="00AF16C1"/>
    <w:rsid w:val="00B0254B"/>
    <w:rsid w:val="00B53001"/>
    <w:rsid w:val="00B62152"/>
    <w:rsid w:val="00B95E34"/>
    <w:rsid w:val="00BA0838"/>
    <w:rsid w:val="00BE1DF2"/>
    <w:rsid w:val="00BE346E"/>
    <w:rsid w:val="00C12FC1"/>
    <w:rsid w:val="00C20BE1"/>
    <w:rsid w:val="00C53733"/>
    <w:rsid w:val="00C90436"/>
    <w:rsid w:val="00CA42F7"/>
    <w:rsid w:val="00CD0FA5"/>
    <w:rsid w:val="00CD4F25"/>
    <w:rsid w:val="00CE02D0"/>
    <w:rsid w:val="00CF2E68"/>
    <w:rsid w:val="00D10029"/>
    <w:rsid w:val="00D12710"/>
    <w:rsid w:val="00D21BD6"/>
    <w:rsid w:val="00D31EF5"/>
    <w:rsid w:val="00D3229F"/>
    <w:rsid w:val="00D64F7D"/>
    <w:rsid w:val="00D67C3E"/>
    <w:rsid w:val="00D864E6"/>
    <w:rsid w:val="00DB6932"/>
    <w:rsid w:val="00DC48AF"/>
    <w:rsid w:val="00DD174D"/>
    <w:rsid w:val="00DF22D4"/>
    <w:rsid w:val="00DF3948"/>
    <w:rsid w:val="00E00012"/>
    <w:rsid w:val="00E07DBE"/>
    <w:rsid w:val="00E11883"/>
    <w:rsid w:val="00E45747"/>
    <w:rsid w:val="00E64EC6"/>
    <w:rsid w:val="00E83061"/>
    <w:rsid w:val="00E95BA4"/>
    <w:rsid w:val="00E96B73"/>
    <w:rsid w:val="00EA07B1"/>
    <w:rsid w:val="00EA1D08"/>
    <w:rsid w:val="00EC2544"/>
    <w:rsid w:val="00ED7F7E"/>
    <w:rsid w:val="00EE5CFC"/>
    <w:rsid w:val="00EE70F5"/>
    <w:rsid w:val="00EF3F74"/>
    <w:rsid w:val="00F117C6"/>
    <w:rsid w:val="00F240E7"/>
    <w:rsid w:val="00F24E97"/>
    <w:rsid w:val="00F52BD0"/>
    <w:rsid w:val="00F567AF"/>
    <w:rsid w:val="00F5682D"/>
    <w:rsid w:val="00F74F91"/>
    <w:rsid w:val="00F82F50"/>
    <w:rsid w:val="00F82FFD"/>
    <w:rsid w:val="00F90152"/>
    <w:rsid w:val="00F90A9F"/>
    <w:rsid w:val="00F96E65"/>
    <w:rsid w:val="00FF3181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025E"/>
  <w15:docId w15:val="{DEC801D1-1750-49E2-877B-92AA134F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0E7"/>
  </w:style>
  <w:style w:type="paragraph" w:styleId="Piedepgina">
    <w:name w:val="footer"/>
    <w:basedOn w:val="Normal"/>
    <w:link w:val="Piedepgina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0E7"/>
  </w:style>
  <w:style w:type="paragraph" w:styleId="Prrafodelista">
    <w:name w:val="List Paragraph"/>
    <w:aliases w:val="Ha"/>
    <w:basedOn w:val="Normal"/>
    <w:link w:val="PrrafodelistaCar"/>
    <w:uiPriority w:val="72"/>
    <w:qFormat/>
    <w:rsid w:val="00F240E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rafodelistaCar">
    <w:name w:val="Párrafo de lista Car"/>
    <w:aliases w:val="Ha Car"/>
    <w:basedOn w:val="Fuentedeprrafopredeter"/>
    <w:link w:val="Prrafodelista"/>
    <w:uiPriority w:val="72"/>
    <w:locked/>
    <w:rsid w:val="00F240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CA4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1397"/>
    <w:rPr>
      <w:color w:val="0000FF" w:themeColor="hyperlink"/>
      <w:u w:val="single"/>
    </w:rPr>
  </w:style>
  <w:style w:type="paragraph" w:styleId="Lista3">
    <w:name w:val="List 3"/>
    <w:basedOn w:val="Normal"/>
    <w:uiPriority w:val="99"/>
    <w:rsid w:val="00631397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8A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B68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8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8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8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8D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8D5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53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5" ma:contentTypeDescription="Crear nuevo documento." ma:contentTypeScope="" ma:versionID="eefa763a422b78b72a8c76e7d3e9f9b8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f9da28590bd3d55763ec388bef2abe7a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9D148-59C9-45A4-9702-883CE78E3A17}"/>
</file>

<file path=customXml/itemProps2.xml><?xml version="1.0" encoding="utf-8"?>
<ds:datastoreItem xmlns:ds="http://schemas.openxmlformats.org/officeDocument/2006/customXml" ds:itemID="{47F453B6-0C80-4500-84F4-FA37B8302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3A380-2C2E-4CA0-9EB1-5B64171243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ELDI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</dc:creator>
  <cp:lastModifiedBy>Marcela Paola Blanco Nuñez</cp:lastModifiedBy>
  <cp:revision>4</cp:revision>
  <cp:lastPrinted>2018-09-04T19:03:00Z</cp:lastPrinted>
  <dcterms:created xsi:type="dcterms:W3CDTF">2019-08-23T22:17:00Z</dcterms:created>
  <dcterms:modified xsi:type="dcterms:W3CDTF">2022-08-26T16:01:00Z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0x010100E0647F3BBDB4424F8B5784E3F0B4572D</vt:lpwstr>
  </property>
</Properties>
</file>